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0F6B07" w:rsidRPr="008E0E0B" w14:paraId="66312B7F" w14:textId="77777777" w:rsidTr="008E0E0B">
        <w:tc>
          <w:tcPr>
            <w:tcW w:w="5000" w:type="pct"/>
          </w:tcPr>
          <w:p w14:paraId="2D976A97" w14:textId="77777777" w:rsidR="000F6B07" w:rsidRPr="008E0E0B" w:rsidRDefault="000F6B07">
            <w:pPr>
              <w:rPr>
                <w:b/>
                <w:sz w:val="20"/>
                <w:szCs w:val="20"/>
              </w:rPr>
            </w:pPr>
            <w:r w:rsidRPr="008E0E0B">
              <w:rPr>
                <w:b/>
                <w:sz w:val="20"/>
                <w:szCs w:val="20"/>
              </w:rPr>
              <w:t>BİRİM:</w:t>
            </w:r>
          </w:p>
          <w:p w14:paraId="24E0FC06" w14:textId="77777777" w:rsidR="000F6B07" w:rsidRPr="008E0E0B" w:rsidRDefault="00C26137" w:rsidP="00C259A5">
            <w:pPr>
              <w:rPr>
                <w:sz w:val="20"/>
                <w:szCs w:val="20"/>
              </w:rPr>
            </w:pPr>
            <w:r w:rsidRPr="008E0E0B">
              <w:rPr>
                <w:sz w:val="20"/>
                <w:szCs w:val="20"/>
              </w:rPr>
              <w:t xml:space="preserve">Dekan </w:t>
            </w:r>
            <w:r w:rsidR="00C259A5" w:rsidRPr="008E0E0B">
              <w:rPr>
                <w:sz w:val="20"/>
                <w:szCs w:val="20"/>
              </w:rPr>
              <w:t>Y</w:t>
            </w:r>
            <w:r w:rsidRPr="008E0E0B">
              <w:rPr>
                <w:sz w:val="20"/>
                <w:szCs w:val="20"/>
              </w:rPr>
              <w:t>ardımcılığı</w:t>
            </w:r>
          </w:p>
        </w:tc>
      </w:tr>
      <w:tr w:rsidR="000F6B07" w:rsidRPr="008E0E0B" w14:paraId="2546A7B3" w14:textId="77777777" w:rsidTr="008E0E0B">
        <w:tc>
          <w:tcPr>
            <w:tcW w:w="5000" w:type="pct"/>
          </w:tcPr>
          <w:p w14:paraId="075EA59F" w14:textId="77777777" w:rsidR="000F6B07" w:rsidRPr="008E0E0B" w:rsidRDefault="000F6B07">
            <w:pPr>
              <w:rPr>
                <w:b/>
                <w:sz w:val="20"/>
                <w:szCs w:val="20"/>
              </w:rPr>
            </w:pPr>
            <w:r w:rsidRPr="008E0E0B">
              <w:rPr>
                <w:b/>
                <w:sz w:val="20"/>
                <w:szCs w:val="20"/>
              </w:rPr>
              <w:t>BAĞLI BULUNDUĞU BİRİM:</w:t>
            </w:r>
          </w:p>
          <w:p w14:paraId="55046940" w14:textId="77777777" w:rsidR="000F6B07" w:rsidRPr="008E0E0B" w:rsidRDefault="00C26137" w:rsidP="00E04473">
            <w:pPr>
              <w:rPr>
                <w:sz w:val="20"/>
                <w:szCs w:val="20"/>
              </w:rPr>
            </w:pPr>
            <w:r w:rsidRPr="008E0E0B">
              <w:rPr>
                <w:sz w:val="20"/>
                <w:szCs w:val="20"/>
              </w:rPr>
              <w:t>Diş Hekimliği Fakültesi Dekanlığı</w:t>
            </w:r>
          </w:p>
        </w:tc>
      </w:tr>
      <w:tr w:rsidR="000F6B07" w:rsidRPr="008E0E0B" w14:paraId="05D2C1B4" w14:textId="77777777" w:rsidTr="008E0E0B">
        <w:tc>
          <w:tcPr>
            <w:tcW w:w="5000" w:type="pct"/>
          </w:tcPr>
          <w:p w14:paraId="229C43A3" w14:textId="77777777" w:rsidR="00156D9D" w:rsidRPr="008E0E0B" w:rsidRDefault="000F6B07" w:rsidP="0099793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E0E0B">
              <w:rPr>
                <w:rFonts w:cs="Times New Roman"/>
                <w:b/>
                <w:sz w:val="20"/>
                <w:szCs w:val="20"/>
              </w:rPr>
              <w:t xml:space="preserve">BİRİMİN AMACI: </w:t>
            </w:r>
          </w:p>
          <w:p w14:paraId="5FDB943D" w14:textId="77777777" w:rsidR="00997935" w:rsidRPr="008E0E0B" w:rsidRDefault="00B33086" w:rsidP="00B33086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E0E0B">
              <w:rPr>
                <w:rFonts w:cs="Arial"/>
                <w:sz w:val="20"/>
                <w:szCs w:val="20"/>
              </w:rPr>
              <w:t>BAİBÜ ve</w:t>
            </w:r>
            <w:r w:rsidR="00997935" w:rsidRPr="008E0E0B">
              <w:rPr>
                <w:rFonts w:cs="Arial"/>
                <w:sz w:val="20"/>
                <w:szCs w:val="20"/>
              </w:rPr>
              <w:t xml:space="preserve"> Diş Hekimliği Fakültesi üst yönetimi tarafından belirlenen </w:t>
            </w:r>
            <w:r w:rsidR="00B21969" w:rsidRPr="008E0E0B">
              <w:rPr>
                <w:rFonts w:cs="Arial"/>
                <w:sz w:val="20"/>
                <w:szCs w:val="20"/>
              </w:rPr>
              <w:t>amaç ve ilkelere uygun olarak; F</w:t>
            </w:r>
            <w:r w:rsidR="00997935" w:rsidRPr="008E0E0B">
              <w:rPr>
                <w:rFonts w:cs="Arial"/>
                <w:sz w:val="20"/>
                <w:szCs w:val="20"/>
              </w:rPr>
              <w:t>akültenin misyonu, vizyonu doğrultusunda eğitim ve öğretimi gerçekleştirmek için gerekli tüm faaliyetlerin yürüt</w:t>
            </w:r>
            <w:r w:rsidR="00B21969" w:rsidRPr="008E0E0B">
              <w:rPr>
                <w:rFonts w:cs="Arial"/>
                <w:sz w:val="20"/>
                <w:szCs w:val="20"/>
              </w:rPr>
              <w:t>ülmesi amacıyla çalışmalarında D</w:t>
            </w:r>
            <w:r w:rsidR="00997935" w:rsidRPr="008E0E0B">
              <w:rPr>
                <w:rFonts w:cs="Arial"/>
                <w:sz w:val="20"/>
                <w:szCs w:val="20"/>
              </w:rPr>
              <w:t xml:space="preserve">ekana yardımcı olmak, </w:t>
            </w:r>
            <w:r w:rsidR="007E56A7" w:rsidRPr="008E0E0B">
              <w:rPr>
                <w:rFonts w:cs="Arial"/>
                <w:sz w:val="20"/>
                <w:szCs w:val="20"/>
              </w:rPr>
              <w:t>D</w:t>
            </w:r>
            <w:r w:rsidR="00997935" w:rsidRPr="008E0E0B">
              <w:rPr>
                <w:rFonts w:cs="Arial"/>
                <w:sz w:val="20"/>
                <w:szCs w:val="20"/>
              </w:rPr>
              <w:t>ekanın bulunmadığı zamanlarda vekalet etmek</w:t>
            </w:r>
            <w:r w:rsidR="007E56A7" w:rsidRPr="008E0E0B">
              <w:rPr>
                <w:rFonts w:cs="Arial"/>
                <w:sz w:val="20"/>
                <w:szCs w:val="20"/>
              </w:rPr>
              <w:t>.</w:t>
            </w:r>
          </w:p>
        </w:tc>
      </w:tr>
      <w:tr w:rsidR="000F6B07" w:rsidRPr="008E0E0B" w14:paraId="066F3751" w14:textId="77777777" w:rsidTr="008E0E0B">
        <w:tc>
          <w:tcPr>
            <w:tcW w:w="5000" w:type="pct"/>
          </w:tcPr>
          <w:p w14:paraId="015DCC31" w14:textId="77777777" w:rsidR="000F6B07" w:rsidRPr="008E0E0B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0E0B">
              <w:rPr>
                <w:rFonts w:cs="Times New Roman"/>
                <w:b/>
                <w:bCs/>
                <w:sz w:val="20"/>
                <w:szCs w:val="20"/>
              </w:rPr>
              <w:t>BİRİMDE GÖREVLİ PERSONELİN NİTELİK, GÖREV, SORUMLULUK VE YETKİLERİ</w:t>
            </w:r>
          </w:p>
        </w:tc>
      </w:tr>
      <w:tr w:rsidR="000F6B07" w:rsidRPr="008E0E0B" w14:paraId="441191A2" w14:textId="77777777" w:rsidTr="008E0E0B">
        <w:tc>
          <w:tcPr>
            <w:tcW w:w="5000" w:type="pct"/>
          </w:tcPr>
          <w:p w14:paraId="73A9C4CA" w14:textId="77777777" w:rsidR="000F6B07" w:rsidRPr="008E0E0B" w:rsidRDefault="000F6B07" w:rsidP="000F6B07">
            <w:pPr>
              <w:rPr>
                <w:b/>
                <w:sz w:val="20"/>
                <w:szCs w:val="20"/>
              </w:rPr>
            </w:pPr>
            <w:r w:rsidRPr="008E0E0B">
              <w:rPr>
                <w:b/>
                <w:sz w:val="20"/>
                <w:szCs w:val="20"/>
              </w:rPr>
              <w:t>UNVANI:</w:t>
            </w:r>
          </w:p>
          <w:p w14:paraId="52EF5EB8" w14:textId="77777777" w:rsidR="000F6B07" w:rsidRPr="008E0E0B" w:rsidRDefault="00156D9D" w:rsidP="000F6B07">
            <w:pPr>
              <w:rPr>
                <w:sz w:val="20"/>
                <w:szCs w:val="20"/>
              </w:rPr>
            </w:pPr>
            <w:r w:rsidRPr="008E0E0B">
              <w:rPr>
                <w:sz w:val="20"/>
                <w:szCs w:val="20"/>
              </w:rPr>
              <w:t>Dekan</w:t>
            </w:r>
            <w:r w:rsidR="00997935" w:rsidRPr="008E0E0B">
              <w:rPr>
                <w:sz w:val="20"/>
                <w:szCs w:val="20"/>
              </w:rPr>
              <w:t xml:space="preserve"> Yardımcısı</w:t>
            </w:r>
          </w:p>
        </w:tc>
      </w:tr>
      <w:tr w:rsidR="000F6B07" w:rsidRPr="008E0E0B" w14:paraId="512E6E41" w14:textId="77777777" w:rsidTr="008E0E0B">
        <w:tc>
          <w:tcPr>
            <w:tcW w:w="5000" w:type="pct"/>
          </w:tcPr>
          <w:p w14:paraId="710CD70E" w14:textId="77777777" w:rsidR="000F6B07" w:rsidRPr="008E0E0B" w:rsidRDefault="000F6B07">
            <w:pPr>
              <w:rPr>
                <w:b/>
                <w:sz w:val="20"/>
                <w:szCs w:val="20"/>
              </w:rPr>
            </w:pPr>
            <w:r w:rsidRPr="008E0E0B">
              <w:rPr>
                <w:b/>
                <w:sz w:val="20"/>
                <w:szCs w:val="20"/>
              </w:rPr>
              <w:t>VEKİLİ:</w:t>
            </w:r>
          </w:p>
          <w:p w14:paraId="14A320CF" w14:textId="77777777" w:rsidR="000F6B07" w:rsidRPr="008E0E0B" w:rsidRDefault="00C26137">
            <w:pPr>
              <w:rPr>
                <w:sz w:val="20"/>
                <w:szCs w:val="20"/>
              </w:rPr>
            </w:pPr>
            <w:r w:rsidRPr="008E0E0B">
              <w:rPr>
                <w:sz w:val="20"/>
                <w:szCs w:val="20"/>
              </w:rPr>
              <w:t>Dekan tarafından yetkilendirilmiş personel</w:t>
            </w:r>
          </w:p>
        </w:tc>
      </w:tr>
      <w:tr w:rsidR="000F6B07" w:rsidRPr="008E0E0B" w14:paraId="53DE37D2" w14:textId="77777777" w:rsidTr="008E0E0B">
        <w:tc>
          <w:tcPr>
            <w:tcW w:w="5000" w:type="pct"/>
          </w:tcPr>
          <w:p w14:paraId="7D489145" w14:textId="77777777" w:rsidR="00027042" w:rsidRPr="008E0E0B" w:rsidRDefault="000F6B07" w:rsidP="00156D9D">
            <w:pPr>
              <w:rPr>
                <w:b/>
                <w:sz w:val="20"/>
                <w:szCs w:val="20"/>
              </w:rPr>
            </w:pPr>
            <w:r w:rsidRPr="008E0E0B">
              <w:rPr>
                <w:b/>
                <w:sz w:val="20"/>
                <w:szCs w:val="20"/>
              </w:rPr>
              <w:t>NİTELİKLERİ:</w:t>
            </w:r>
          </w:p>
          <w:p w14:paraId="63FA0637" w14:textId="77777777" w:rsidR="00156D9D" w:rsidRPr="008E0E0B" w:rsidRDefault="00156D9D" w:rsidP="00156D9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657 Sayılı Devlet Memurları Kanunu’nda ve 2547 Sayılı Yüksek Öğretim Kanunu’nda belirtilen genel niteliklere sahip olmak. </w:t>
            </w:r>
          </w:p>
          <w:p w14:paraId="09CD5974" w14:textId="77777777" w:rsidR="00156D9D" w:rsidRPr="008E0E0B" w:rsidRDefault="00156D9D" w:rsidP="00156D9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Görevinin gerektirdiği düzeyde iş deneyimine sahip olmak. </w:t>
            </w:r>
          </w:p>
          <w:p w14:paraId="25ED7914" w14:textId="77777777" w:rsidR="00156D9D" w:rsidRPr="008E0E0B" w:rsidRDefault="00156D9D" w:rsidP="00156D9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Yöneticilik niteliklerine sahip olmak; sevk ve idare gereklerini bilmek. </w:t>
            </w:r>
          </w:p>
          <w:p w14:paraId="224AC81D" w14:textId="77777777" w:rsidR="00156D9D" w:rsidRPr="008E0E0B" w:rsidRDefault="00156D9D" w:rsidP="00156D9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Faaliyetlerini en iyi şekilde sürdürebilmesi için gerekli karar verme ve sorun çözme niteliklerine sahip olmak. </w:t>
            </w:r>
          </w:p>
          <w:p w14:paraId="67FA75A1" w14:textId="4172CF38" w:rsidR="00DB12B4" w:rsidRPr="008E0E0B" w:rsidRDefault="00DB12B4" w:rsidP="00156D9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“Eğiticinin eğitimi” eğitimini almış ya da eğitici gelişim programlarına katılmış olmak</w:t>
            </w:r>
          </w:p>
          <w:p w14:paraId="29EBBDD4" w14:textId="77777777" w:rsidR="00156D9D" w:rsidRPr="008E0E0B" w:rsidRDefault="00156D9D" w:rsidP="00156D9D">
            <w:pPr>
              <w:rPr>
                <w:b/>
                <w:sz w:val="20"/>
                <w:szCs w:val="20"/>
              </w:rPr>
            </w:pPr>
          </w:p>
        </w:tc>
      </w:tr>
      <w:tr w:rsidR="000F6B07" w:rsidRPr="008E0E0B" w14:paraId="6BC89593" w14:textId="77777777" w:rsidTr="008E0E0B">
        <w:tc>
          <w:tcPr>
            <w:tcW w:w="5000" w:type="pct"/>
          </w:tcPr>
          <w:p w14:paraId="0F1049E9" w14:textId="77777777" w:rsidR="00156D9D" w:rsidRPr="008E0E0B" w:rsidRDefault="000F6B07" w:rsidP="00997935">
            <w:pPr>
              <w:rPr>
                <w:b/>
                <w:sz w:val="20"/>
                <w:szCs w:val="20"/>
              </w:rPr>
            </w:pPr>
            <w:r w:rsidRPr="008E0E0B">
              <w:rPr>
                <w:b/>
                <w:sz w:val="20"/>
                <w:szCs w:val="20"/>
              </w:rPr>
              <w:t>GÖREV VE SORUMLULUKLARI:</w:t>
            </w:r>
          </w:p>
          <w:p w14:paraId="7EF02238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B</w:t>
            </w:r>
            <w:r w:rsidR="00B33086" w:rsidRPr="008E0E0B">
              <w:rPr>
                <w:rFonts w:asciiTheme="minorHAnsi" w:hAnsiTheme="minorHAnsi" w:cs="Arial"/>
                <w:bCs/>
                <w:sz w:val="20"/>
                <w:szCs w:val="20"/>
              </w:rPr>
              <w:t>irimin sevk ve idaresinde Dekan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a yardımcı olur. Dekanın görevi başında bulunmadığı zamanlarda sevk, idare ve harcama konusunda yetkilidir.</w:t>
            </w:r>
          </w:p>
          <w:p w14:paraId="5D5DAF7C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Lisans eğitim ana sürecinin eğitim faaliyetlerinin belirlenmesi, uygulanması ve sürekliliğinin sağlanmasından sorumludur. </w:t>
            </w:r>
          </w:p>
          <w:p w14:paraId="6E220CAC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Fakültedeki programların akredite edilmesi için gerekli çalışmaları yapar. </w:t>
            </w:r>
          </w:p>
          <w:p w14:paraId="2B4D2084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Öğretim elemanlarına “Öğretim Süreci Değerlendirme Anketlerinin” uygulanmasını sağlar.</w:t>
            </w:r>
          </w:p>
          <w:p w14:paraId="48E52F82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Öğrencilere Fakülteyi değerlendirme anketlerinin uygulanmasını sağlar.</w:t>
            </w:r>
          </w:p>
          <w:p w14:paraId="1B5C79FA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Fakültenin eğitim-öğretim faaliyetlerini organize eder. </w:t>
            </w:r>
          </w:p>
          <w:p w14:paraId="45C026F0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Öğrenci danışmanlık hizmetlerini düzenler ve işleyişini denetler.</w:t>
            </w:r>
          </w:p>
          <w:p w14:paraId="77A2AB16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Öğrencilerin kayıt dondurma isteklerinin değerlendirilmesini ve sonuçlandırılmasını sağlar. </w:t>
            </w:r>
          </w:p>
          <w:p w14:paraId="368A6C65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Öğrencilerin ders muafiyet isteklerini</w:t>
            </w:r>
            <w:r w:rsidR="00B33086"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Eğitim Öğretim Koordinasyon Kurulu ile birlikte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değerlendirir ve gerekli işlemlerin yapılmasını sağlar. </w:t>
            </w:r>
          </w:p>
          <w:p w14:paraId="776D2CD7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Değişik nedenlerle ortaya çıkan öğrenci ders intibak işlemlerinin yürütülmesini </w:t>
            </w:r>
            <w:r w:rsidR="00B33086"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Eğitim Öğretim Koordinasyon Kurulu ile birlikte 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sağlar.</w:t>
            </w:r>
          </w:p>
          <w:p w14:paraId="325E1F41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Haftalık ders programlarının yapılması ile ilgili görevli elemanlarla eş güdüm içerisinde çalışarak programların düzenli bir şekilde hazırlanmasını, otomasyon sistemine işlenmesini ve öğretim elemanları ile öğrencilere duyurulmasının sağlar. </w:t>
            </w:r>
          </w:p>
          <w:p w14:paraId="5FE1D0DC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Bölümler tarafından yapılan ders görevlendirmelerinin denetimini yapar. </w:t>
            </w:r>
          </w:p>
          <w:p w14:paraId="7516765D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Ek ders formlarını kontrol eder ve denetler. </w:t>
            </w:r>
          </w:p>
          <w:p w14:paraId="79C7C3F2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Sınıf temsilcileri ve Fakülte temsilcisi seçimlerini düzenler, bu temsilcilerle yapılacak toplantılara başkanlık eder. </w:t>
            </w:r>
          </w:p>
          <w:p w14:paraId="7FB505FC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Yeni öğrencilerin oryantasyon etkinliklerinin organizasyonunu sağlar. </w:t>
            </w:r>
          </w:p>
          <w:p w14:paraId="5EB3841D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Anabilim Dalı Başkanları tarafından çözüme kavuşturulamayan öğrenci sorunlarını Dekan adına dinler ve çözüme kavuşturur. </w:t>
            </w:r>
          </w:p>
          <w:p w14:paraId="27E03835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Öğrenci kulüplerinin ve öğrencilerin düzenleyeceği her türlü etkinliği gözden geçirir, denetler ve kontrolünü sağlar. </w:t>
            </w:r>
          </w:p>
          <w:p w14:paraId="5FD923C4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Yatay geçiş, dikey geçiş, yabancı uyruklu öğrenci vb. kabulü ile ilgili her türlü çalışma</w:t>
            </w:r>
            <w:r w:rsidR="00B33086" w:rsidRPr="008E0E0B">
              <w:rPr>
                <w:rFonts w:asciiTheme="minorHAnsi" w:hAnsiTheme="minorHAnsi" w:cs="Arial"/>
                <w:bCs/>
                <w:sz w:val="20"/>
                <w:szCs w:val="20"/>
              </w:rPr>
              <w:t>nın takibini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B33086"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Eğitim Öğretim Koordinasyon Kurulu ile birlikte 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yapar, programların düzenlenmesini sağlar. </w:t>
            </w:r>
          </w:p>
          <w:p w14:paraId="283E003A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Her türlü burs işlemleri ile ilgilenir, bunlar için kurulacak komisyonlara başkanlık eder.</w:t>
            </w:r>
          </w:p>
          <w:p w14:paraId="6D9B8BBB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Mezuniyet töreni ile ilgili çalışmaları düzenler. </w:t>
            </w:r>
          </w:p>
          <w:p w14:paraId="034C7CE6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Eğitim-öğretim ve araştırmalarla ilgili politikalar ve stratejiler geliştirir. </w:t>
            </w:r>
          </w:p>
          <w:p w14:paraId="28602FB0" w14:textId="77777777" w:rsidR="00BE01CD" w:rsidRPr="008E0E0B" w:rsidRDefault="00BE01CD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Fakülte değerlendirme ve kalite geliştirme çalışmalarını yürütür.</w:t>
            </w:r>
          </w:p>
          <w:p w14:paraId="0D124C42" w14:textId="77777777" w:rsidR="00BE01CD" w:rsidRPr="008E0E0B" w:rsidRDefault="00BE01CD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Değerlendirme ve kalite geliştirme çalışmaları için standartların belirlenmesini sağlar.</w:t>
            </w:r>
          </w:p>
          <w:p w14:paraId="120437E0" w14:textId="77777777" w:rsidR="008E5522" w:rsidRPr="008E0E0B" w:rsidRDefault="008E552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Dilek ve öneri kutularının düzenli olarak açılıp değerlendirilmesini sağlar.</w:t>
            </w:r>
          </w:p>
          <w:p w14:paraId="46E0532F" w14:textId="77777777" w:rsidR="008E5522" w:rsidRPr="008E0E0B" w:rsidRDefault="008E552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Düzenlenen çalışma saatlerinde bütün personel</w:t>
            </w:r>
            <w:r w:rsidR="00541B77" w:rsidRPr="008E0E0B">
              <w:rPr>
                <w:rFonts w:asciiTheme="minorHAnsi" w:hAnsiTheme="minorHAnsi" w:cs="Arial"/>
                <w:bCs/>
                <w:sz w:val="20"/>
                <w:szCs w:val="20"/>
              </w:rPr>
              <w:t>in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görevleri başında bulunmalarını, belirli saatte göreve başlamalarını yakından izler.</w:t>
            </w:r>
          </w:p>
          <w:p w14:paraId="26E3FE81" w14:textId="77777777" w:rsidR="008E5522" w:rsidRPr="008E0E0B" w:rsidRDefault="008E552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Akademik ve idari personel</w:t>
            </w:r>
            <w:r w:rsidR="00541B77" w:rsidRPr="008E0E0B">
              <w:rPr>
                <w:rFonts w:asciiTheme="minorHAnsi" w:hAnsiTheme="minorHAnsi" w:cs="Arial"/>
                <w:bCs/>
                <w:sz w:val="20"/>
                <w:szCs w:val="20"/>
              </w:rPr>
              <w:t>in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atanma, kadro, izin, rapor ve diğer özlük haklarını izler, bu konularda personel</w:t>
            </w:r>
            <w:r w:rsidR="00541B77" w:rsidRPr="008E0E0B">
              <w:rPr>
                <w:rFonts w:asciiTheme="minorHAnsi" w:hAnsiTheme="minorHAnsi" w:cs="Arial"/>
                <w:bCs/>
                <w:sz w:val="20"/>
                <w:szCs w:val="20"/>
              </w:rPr>
              <w:t>in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isteklerini dinler çözüme kavuşturur.</w:t>
            </w:r>
          </w:p>
          <w:p w14:paraId="13A758D5" w14:textId="77777777" w:rsidR="008E5522" w:rsidRPr="008E0E0B" w:rsidRDefault="008E552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Hastalara muayene, teşhis ve tedavi sırasında yeterince ihtimam ve ilgi gösterilip gösterilmediğine dikkat eder.</w:t>
            </w:r>
          </w:p>
          <w:p w14:paraId="16079F2D" w14:textId="77777777" w:rsidR="00541B77" w:rsidRPr="008E0E0B" w:rsidRDefault="00541B77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sz w:val="20"/>
                <w:szCs w:val="20"/>
              </w:rPr>
              <w:t>Bölümlerin ihtiyaçlarını Dekanlık Makamına rapor eder.</w:t>
            </w:r>
          </w:p>
          <w:p w14:paraId="3D7232E0" w14:textId="77777777" w:rsidR="007542E7" w:rsidRPr="008E0E0B" w:rsidRDefault="007542E7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sz w:val="20"/>
                <w:szCs w:val="20"/>
              </w:rPr>
              <w:t>Anabilim Dalları arasında eşgüdümü sağlar.</w:t>
            </w:r>
          </w:p>
          <w:p w14:paraId="611697AF" w14:textId="77777777" w:rsidR="00541B77" w:rsidRPr="008E0E0B" w:rsidRDefault="00541B77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sz w:val="20"/>
                <w:szCs w:val="20"/>
              </w:rPr>
              <w:t>Kurumun tıbbi, idari hizmetlerinin görevlilerce en iyi şekilde yürütülmesini sağlar.</w:t>
            </w:r>
          </w:p>
          <w:p w14:paraId="3AC60C63" w14:textId="77777777" w:rsidR="00541B77" w:rsidRPr="008E0E0B" w:rsidRDefault="00541B77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Çevre temizlik, bakım ve onarım hizmetlerini denetler.</w:t>
            </w:r>
          </w:p>
          <w:p w14:paraId="5AD5F673" w14:textId="77777777" w:rsidR="00541B77" w:rsidRPr="008E0E0B" w:rsidRDefault="00541B77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Satın alma ve ihalelerle ilgili işleri denetler ve sonuçlandır</w:t>
            </w:r>
            <w:r w:rsidR="007542E7" w:rsidRPr="008E0E0B">
              <w:rPr>
                <w:rFonts w:asciiTheme="minorHAnsi" w:hAnsiTheme="minorHAnsi" w:cs="Arial"/>
                <w:bCs/>
                <w:sz w:val="20"/>
                <w:szCs w:val="20"/>
              </w:rPr>
              <w:t>ılmasını sağlar.</w:t>
            </w:r>
          </w:p>
          <w:p w14:paraId="5D5C745D" w14:textId="77777777" w:rsidR="009936FC" w:rsidRPr="008E0E0B" w:rsidRDefault="009936FC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Yıllık akademik faaliyet raporlarını</w:t>
            </w:r>
            <w:r w:rsidR="007542E7" w:rsidRPr="008E0E0B">
              <w:rPr>
                <w:rFonts w:asciiTheme="minorHAnsi" w:hAnsiTheme="minorHAnsi" w:cs="Arial"/>
                <w:bCs/>
                <w:sz w:val="20"/>
                <w:szCs w:val="20"/>
              </w:rPr>
              <w:t>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, stratejik planları</w:t>
            </w:r>
            <w:r w:rsidR="007542E7" w:rsidRPr="008E0E0B">
              <w:rPr>
                <w:rFonts w:asciiTheme="minorHAnsi" w:hAnsiTheme="minorHAnsi" w:cs="Arial"/>
                <w:bCs/>
                <w:sz w:val="20"/>
                <w:szCs w:val="20"/>
              </w:rPr>
              <w:t>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, uyum eylem planlarını</w:t>
            </w:r>
            <w:r w:rsidR="007542E7" w:rsidRPr="008E0E0B">
              <w:rPr>
                <w:rFonts w:asciiTheme="minorHAnsi" w:hAnsiTheme="minorHAnsi" w:cs="Arial"/>
                <w:bCs/>
                <w:sz w:val="20"/>
                <w:szCs w:val="20"/>
              </w:rPr>
              <w:t>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ve denetim raporlarını</w:t>
            </w:r>
            <w:r w:rsidR="007542E7" w:rsidRPr="008E0E0B">
              <w:rPr>
                <w:rFonts w:asciiTheme="minorHAnsi" w:hAnsiTheme="minorHAnsi" w:cs="Arial"/>
                <w:bCs/>
                <w:sz w:val="20"/>
                <w:szCs w:val="20"/>
              </w:rPr>
              <w:t>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hazırla</w:t>
            </w:r>
            <w:r w:rsidR="007542E7" w:rsidRPr="008E0E0B">
              <w:rPr>
                <w:rFonts w:asciiTheme="minorHAnsi" w:hAnsiTheme="minorHAnsi" w:cs="Arial"/>
                <w:bCs/>
                <w:sz w:val="20"/>
                <w:szCs w:val="20"/>
              </w:rPr>
              <w:t>nmasını sağlar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ve takibini yapar. </w:t>
            </w:r>
          </w:p>
          <w:p w14:paraId="3EE904C7" w14:textId="77777777" w:rsidR="009936FC" w:rsidRPr="008E0E0B" w:rsidRDefault="009936FC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İdare, ambar, depo, laboratuvar ve sair yerlerin hesap ve ayniyata ait kayıtlarını, idareye ait evrak ve dosyaların, görevliler tarafından usulüne göre ve düzenli bir şekilde tutulmasını sağlar.</w:t>
            </w:r>
          </w:p>
          <w:p w14:paraId="0C691CD7" w14:textId="77777777" w:rsidR="009936FC" w:rsidRPr="008E0E0B" w:rsidRDefault="009936FC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Kurum ve bölümlerinde bulunan bütün fenni alet ve cihazlarla ecza ve laboratuvar malzemelerin, eşya, mefruşat ve demirbaşların kayıtlarını Taşınır Mal Yönetmeliği hükümlerine uygun bir şekilde tespit ve tescil edilmelerini </w:t>
            </w:r>
            <w:r w:rsidR="007542E7" w:rsidRPr="008E0E0B">
              <w:rPr>
                <w:rFonts w:asciiTheme="minorHAnsi" w:hAnsiTheme="minorHAnsi" w:cs="Arial"/>
                <w:bCs/>
                <w:sz w:val="20"/>
                <w:szCs w:val="20"/>
              </w:rPr>
              <w:t>icabına göre saklan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malarını</w:t>
            </w:r>
            <w:r w:rsidR="007542E7"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veya kullanılmalarını sağlar.</w:t>
            </w:r>
          </w:p>
          <w:p w14:paraId="37840FB7" w14:textId="77777777" w:rsidR="007542E7" w:rsidRPr="008E0E0B" w:rsidRDefault="007542E7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Kurumun bütün bölümlerinin, tesisat, cihaz ve malzemesini belirsiz zamanlarda sık sık kontrol eder. Bunlarda düzen, güvenlik, temizlik hususlarında rastladığı kusur ve noksanlara sebep olanlarla, bunları düzeltmeyenler hakkında gerekli işlemleri yapar.</w:t>
            </w:r>
          </w:p>
          <w:p w14:paraId="605BAE61" w14:textId="77777777" w:rsidR="007542E7" w:rsidRPr="008E0E0B" w:rsidRDefault="007542E7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Kurumun eşya ve malzemesinden bozulanların mevzuata uygun olarak onarımının yapılmasını sağlar.</w:t>
            </w:r>
            <w:r w:rsidR="00DA2A22"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Kurumun bina ve bölümlerinde büyük onarım, değiştirme düzeltilmesi gereken kısımlarla, yapılacak inşaat hakkındaki fikir ve mütalaalarını plan ve keşifleriyle birlikte her sene bütçe hazırlanmadan önce Dekana bildirir.</w:t>
            </w:r>
          </w:p>
          <w:p w14:paraId="383DA358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Dekanın vereceği diğer işleri yapar.</w:t>
            </w:r>
          </w:p>
          <w:p w14:paraId="2FB03439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Dekan olmadığı zaman Dekanlığa vekalet eder. </w:t>
            </w:r>
          </w:p>
          <w:p w14:paraId="15D02C9A" w14:textId="77777777" w:rsidR="004A237C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Dekan Yardımcısı, yukarıda yazılı olan bütün bu görevleri kanunlara ve yönetmeliklere uygun olarak yerine getirirken, Dekana karşı sorumludur.</w:t>
            </w:r>
          </w:p>
          <w:p w14:paraId="6E4BC4C4" w14:textId="77777777" w:rsidR="00997935" w:rsidRPr="008E0E0B" w:rsidRDefault="00997935" w:rsidP="00997935">
            <w:pPr>
              <w:rPr>
                <w:b/>
                <w:sz w:val="20"/>
                <w:szCs w:val="20"/>
              </w:rPr>
            </w:pPr>
          </w:p>
        </w:tc>
      </w:tr>
      <w:tr w:rsidR="000F6B07" w:rsidRPr="008E0E0B" w14:paraId="3C0E369D" w14:textId="77777777" w:rsidTr="008E0E0B">
        <w:tc>
          <w:tcPr>
            <w:tcW w:w="5000" w:type="pct"/>
          </w:tcPr>
          <w:p w14:paraId="091F2AB5" w14:textId="77777777" w:rsidR="00156D9D" w:rsidRPr="008E0E0B" w:rsidRDefault="000F6B07" w:rsidP="00997935">
            <w:pPr>
              <w:rPr>
                <w:b/>
                <w:sz w:val="20"/>
                <w:szCs w:val="20"/>
              </w:rPr>
            </w:pPr>
            <w:r w:rsidRPr="008E0E0B">
              <w:rPr>
                <w:b/>
                <w:sz w:val="20"/>
                <w:szCs w:val="20"/>
              </w:rPr>
              <w:lastRenderedPageBreak/>
              <w:t>YETKİLERİ:</w:t>
            </w:r>
          </w:p>
          <w:p w14:paraId="0BB61070" w14:textId="77777777" w:rsidR="00997935" w:rsidRPr="008E0E0B" w:rsidRDefault="00997935" w:rsidP="00997935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sz w:val="20"/>
                <w:szCs w:val="20"/>
              </w:rPr>
              <w:t xml:space="preserve">Yukarıda belirtilen görev ve sorumlulukları gerçekleştirme becerisine sahiptir. </w:t>
            </w:r>
          </w:p>
          <w:p w14:paraId="62A15261" w14:textId="77777777" w:rsidR="00997935" w:rsidRPr="008E0E0B" w:rsidRDefault="00997935" w:rsidP="00997935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sz w:val="20"/>
                <w:szCs w:val="20"/>
              </w:rPr>
              <w:t xml:space="preserve">Faaliyetlerin gerçekleştirilmesi için gerekli araç ve gereçleri kullanabilir. </w:t>
            </w:r>
          </w:p>
          <w:p w14:paraId="61E24E32" w14:textId="77777777" w:rsidR="00997935" w:rsidRPr="008E0E0B" w:rsidRDefault="00997935" w:rsidP="00997935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sz w:val="20"/>
                <w:szCs w:val="20"/>
              </w:rPr>
              <w:t>İmza yetkisine sahiptir.</w:t>
            </w:r>
          </w:p>
          <w:p w14:paraId="41DEB0C7" w14:textId="77777777" w:rsidR="00997935" w:rsidRPr="008E0E0B" w:rsidRDefault="00997935" w:rsidP="00997935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sz w:val="20"/>
                <w:szCs w:val="20"/>
              </w:rPr>
              <w:t>Emrindeki yönetici ve personele iş verme, yönlendirme,</w:t>
            </w:r>
            <w:r w:rsidR="00096437" w:rsidRPr="008E0E0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E0E0B">
              <w:rPr>
                <w:rFonts w:asciiTheme="minorHAnsi" w:hAnsiTheme="minorHAnsi" w:cs="Arial"/>
                <w:sz w:val="20"/>
                <w:szCs w:val="20"/>
              </w:rPr>
              <w:t>yaptıkları işleri kontrol etme,</w:t>
            </w:r>
            <w:r w:rsidR="00096437" w:rsidRPr="008E0E0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E0E0B">
              <w:rPr>
                <w:rFonts w:asciiTheme="minorHAnsi" w:hAnsiTheme="minorHAnsi" w:cs="Arial"/>
                <w:sz w:val="20"/>
                <w:szCs w:val="20"/>
              </w:rPr>
              <w:t>düzeltme,</w:t>
            </w:r>
            <w:r w:rsidR="00096437" w:rsidRPr="008E0E0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E0E0B">
              <w:rPr>
                <w:rFonts w:asciiTheme="minorHAnsi" w:hAnsiTheme="minorHAnsi" w:cs="Arial"/>
                <w:sz w:val="20"/>
                <w:szCs w:val="20"/>
              </w:rPr>
              <w:t>gerektiğinde uyarma,</w:t>
            </w:r>
            <w:r w:rsidR="00096437" w:rsidRPr="008E0E0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E0E0B">
              <w:rPr>
                <w:rFonts w:asciiTheme="minorHAnsi" w:hAnsiTheme="minorHAnsi" w:cs="Arial"/>
                <w:sz w:val="20"/>
                <w:szCs w:val="20"/>
              </w:rPr>
              <w:t>bilgi ve rapor isteme yetkisine sahiptir.</w:t>
            </w:r>
          </w:p>
          <w:p w14:paraId="17308941" w14:textId="77777777" w:rsidR="00997935" w:rsidRPr="008E0E0B" w:rsidRDefault="00997935" w:rsidP="00997935">
            <w:pPr>
              <w:rPr>
                <w:b/>
                <w:sz w:val="20"/>
                <w:szCs w:val="20"/>
              </w:rPr>
            </w:pPr>
          </w:p>
        </w:tc>
      </w:tr>
    </w:tbl>
    <w:p w14:paraId="0C6C79BF" w14:textId="77777777" w:rsidR="008E0E0B" w:rsidRDefault="008E0E0B"/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E0E0B" w:rsidRPr="008E0E0B" w14:paraId="0E81F078" w14:textId="77777777" w:rsidTr="008E0E0B">
        <w:tc>
          <w:tcPr>
            <w:tcW w:w="1666" w:type="pct"/>
          </w:tcPr>
          <w:p w14:paraId="74C85CB1" w14:textId="6116B128" w:rsidR="008E0E0B" w:rsidRPr="008E0E0B" w:rsidRDefault="008E0E0B" w:rsidP="008E0E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4598ED68" w14:textId="532582C5" w:rsidR="008E0E0B" w:rsidRPr="008E0E0B" w:rsidRDefault="008E0E0B" w:rsidP="008E0E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16D89968" w14:textId="20680F73" w:rsidR="008E0E0B" w:rsidRPr="008E0E0B" w:rsidRDefault="008E0E0B" w:rsidP="008E0E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0E0B" w:rsidRPr="008E0E0B" w14:paraId="52D5452D" w14:textId="77777777" w:rsidTr="008E0E0B">
        <w:tc>
          <w:tcPr>
            <w:tcW w:w="1666" w:type="pct"/>
          </w:tcPr>
          <w:p w14:paraId="0AF7FD37" w14:textId="49AECAE8" w:rsidR="008E0E0B" w:rsidRPr="008E0E0B" w:rsidRDefault="008E0E0B" w:rsidP="008E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6B9DEF3" w14:textId="499DE6DF" w:rsidR="008E0E0B" w:rsidRPr="008E0E0B" w:rsidRDefault="008E0E0B" w:rsidP="008E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03AB046C" w14:textId="3E973375" w:rsidR="008E0E0B" w:rsidRPr="008E0E0B" w:rsidRDefault="008E0E0B" w:rsidP="008E0E0B">
            <w:pPr>
              <w:jc w:val="center"/>
              <w:rPr>
                <w:sz w:val="20"/>
                <w:szCs w:val="20"/>
              </w:rPr>
            </w:pPr>
          </w:p>
        </w:tc>
      </w:tr>
      <w:tr w:rsidR="008E0E0B" w:rsidRPr="008E0E0B" w14:paraId="5BC34393" w14:textId="77777777" w:rsidTr="008E0E0B">
        <w:tc>
          <w:tcPr>
            <w:tcW w:w="1666" w:type="pct"/>
          </w:tcPr>
          <w:p w14:paraId="061EBF8A" w14:textId="77777777" w:rsidR="008E0E0B" w:rsidRPr="008E0E0B" w:rsidRDefault="008E0E0B" w:rsidP="008E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4A6C475" w14:textId="77777777" w:rsidR="008E0E0B" w:rsidRPr="008E0E0B" w:rsidRDefault="008E0E0B" w:rsidP="00E5474E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CCBA69A" w14:textId="77777777" w:rsidR="008E0E0B" w:rsidRPr="008E0E0B" w:rsidRDefault="008E0E0B" w:rsidP="008E0E0B">
            <w:pPr>
              <w:jc w:val="center"/>
              <w:rPr>
                <w:sz w:val="20"/>
                <w:szCs w:val="20"/>
              </w:rPr>
            </w:pPr>
          </w:p>
        </w:tc>
      </w:tr>
      <w:tr w:rsidR="008E0E0B" w:rsidRPr="008E0E0B" w14:paraId="1CB3BF40" w14:textId="77777777" w:rsidTr="008E0E0B">
        <w:tc>
          <w:tcPr>
            <w:tcW w:w="1666" w:type="pct"/>
          </w:tcPr>
          <w:p w14:paraId="29F2DC39" w14:textId="7F66745C" w:rsidR="008E0E0B" w:rsidRPr="008E0E0B" w:rsidRDefault="008E0E0B" w:rsidP="008E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4F74C20" w14:textId="2B4133A1" w:rsidR="008E0E0B" w:rsidRPr="008E0E0B" w:rsidRDefault="008E0E0B" w:rsidP="008E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7E304428" w14:textId="51AB1493" w:rsidR="008E0E0B" w:rsidRPr="008E0E0B" w:rsidRDefault="008E0E0B" w:rsidP="008E0E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4779C10" w14:textId="77777777" w:rsidR="00D47180" w:rsidRDefault="00D47180" w:rsidP="00E5474E"/>
    <w:p w14:paraId="7BAAC0A4" w14:textId="77777777" w:rsidR="00500B84" w:rsidRPr="00E5474E" w:rsidRDefault="00500B84" w:rsidP="00E5474E"/>
    <w:sectPr w:rsidR="00500B84" w:rsidRPr="00E5474E" w:rsidSect="008E0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AD6A" w14:textId="77777777" w:rsidR="00BF031A" w:rsidRDefault="00BF031A" w:rsidP="00E5474E">
      <w:pPr>
        <w:spacing w:after="0" w:line="240" w:lineRule="auto"/>
      </w:pPr>
      <w:r>
        <w:separator/>
      </w:r>
    </w:p>
  </w:endnote>
  <w:endnote w:type="continuationSeparator" w:id="0">
    <w:p w14:paraId="76FA164E" w14:textId="77777777" w:rsidR="00BF031A" w:rsidRDefault="00BF031A" w:rsidP="00E5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8989" w14:textId="77777777" w:rsidR="00301032" w:rsidRDefault="003010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9AD8" w14:textId="77777777" w:rsidR="00301032" w:rsidRDefault="003010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CE0A" w14:textId="77777777" w:rsidR="00301032" w:rsidRDefault="003010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C8FA" w14:textId="77777777" w:rsidR="00BF031A" w:rsidRDefault="00BF031A" w:rsidP="00E5474E">
      <w:pPr>
        <w:spacing w:after="0" w:line="240" w:lineRule="auto"/>
      </w:pPr>
      <w:r>
        <w:separator/>
      </w:r>
    </w:p>
  </w:footnote>
  <w:footnote w:type="continuationSeparator" w:id="0">
    <w:p w14:paraId="1E75DCDE" w14:textId="77777777" w:rsidR="00BF031A" w:rsidRDefault="00BF031A" w:rsidP="00E54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C1CB" w14:textId="77777777" w:rsidR="00301032" w:rsidRDefault="003010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28"/>
      <w:gridCol w:w="2223"/>
      <w:gridCol w:w="2198"/>
      <w:gridCol w:w="2227"/>
      <w:gridCol w:w="1930"/>
    </w:tblGrid>
    <w:tr w:rsidR="00E5474E" w14:paraId="01687939" w14:textId="77777777" w:rsidTr="008E0E0B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27AA0B" w14:textId="77777777" w:rsidR="00E5474E" w:rsidRPr="00DE7200" w:rsidRDefault="00C971AD" w:rsidP="008E0E0B">
          <w:pPr>
            <w:pStyle w:val="stBilgi"/>
            <w:contextualSpacing/>
            <w:jc w:val="center"/>
          </w:pPr>
          <w:r w:rsidRPr="00C971AD">
            <w:rPr>
              <w:noProof/>
              <w:lang w:eastAsia="tr-TR"/>
            </w:rPr>
            <w:drawing>
              <wp:inline distT="0" distB="0" distL="0" distR="0" wp14:anchorId="012FACA5" wp14:editId="1CFEF688">
                <wp:extent cx="866775" cy="779145"/>
                <wp:effectExtent l="19050" t="0" r="9525" b="0"/>
                <wp:docPr id="4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27F273" w14:textId="54DBF90E" w:rsidR="00301032" w:rsidRPr="00301032" w:rsidRDefault="00301032" w:rsidP="008E0E0B">
          <w:pPr>
            <w:tabs>
              <w:tab w:val="left" w:pos="1950"/>
              <w:tab w:val="center" w:pos="4536"/>
              <w:tab w:val="right" w:pos="9072"/>
            </w:tabs>
            <w:contextualSpacing/>
            <w:jc w:val="center"/>
            <w:rPr>
              <w:rFonts w:cs="Times New Roman"/>
              <w:b/>
              <w:smallCaps/>
            </w:rPr>
          </w:pPr>
          <w:r w:rsidRPr="00301032">
            <w:rPr>
              <w:rFonts w:cs="Times New Roman"/>
              <w:b/>
              <w:smallCaps/>
              <w:sz w:val="28"/>
              <w:szCs w:val="28"/>
            </w:rPr>
            <w:t>bolu</w:t>
          </w:r>
          <w:r w:rsidR="00C971AD" w:rsidRPr="00301032">
            <w:rPr>
              <w:rFonts w:cs="Times New Roman"/>
              <w:b/>
              <w:smallCaps/>
              <w:sz w:val="24"/>
              <w:szCs w:val="24"/>
            </w:rPr>
            <w:t xml:space="preserve"> </w:t>
          </w:r>
          <w:r w:rsidR="00E5474E" w:rsidRPr="00301032">
            <w:rPr>
              <w:rFonts w:cs="Times New Roman"/>
              <w:b/>
              <w:smallCaps/>
            </w:rPr>
            <w:t>ABANT İZZET BAYSAL ÜNİVERSİTESİ</w:t>
          </w:r>
        </w:p>
        <w:p w14:paraId="236AC59F" w14:textId="15EE5F03" w:rsidR="008E0E0B" w:rsidRDefault="00E5474E" w:rsidP="008E0E0B">
          <w:pPr>
            <w:tabs>
              <w:tab w:val="left" w:pos="1950"/>
              <w:tab w:val="center" w:pos="4536"/>
              <w:tab w:val="right" w:pos="9072"/>
            </w:tabs>
            <w:contextualSpacing/>
            <w:jc w:val="center"/>
            <w:rPr>
              <w:rFonts w:cs="Times New Roman"/>
              <w:b/>
              <w:smallCaps/>
            </w:rPr>
          </w:pPr>
          <w:r w:rsidRPr="00301032">
            <w:rPr>
              <w:rFonts w:cs="Times New Roman"/>
              <w:b/>
              <w:smallCaps/>
            </w:rPr>
            <w:t>DİŞ HEKİMLİĞİ FAKÜLTESİ</w:t>
          </w:r>
        </w:p>
        <w:p w14:paraId="13B08AAF" w14:textId="1894E6E6" w:rsidR="00E5474E" w:rsidRPr="00301032" w:rsidRDefault="00E5474E" w:rsidP="008E0E0B">
          <w:pPr>
            <w:tabs>
              <w:tab w:val="left" w:pos="1950"/>
              <w:tab w:val="center" w:pos="4536"/>
              <w:tab w:val="right" w:pos="9072"/>
            </w:tabs>
            <w:contextualSpacing/>
            <w:jc w:val="center"/>
            <w:rPr>
              <w:smallCaps/>
              <w:sz w:val="28"/>
              <w:szCs w:val="28"/>
            </w:rPr>
          </w:pPr>
          <w:r w:rsidRPr="00301032">
            <w:rPr>
              <w:smallCaps/>
              <w:sz w:val="28"/>
              <w:szCs w:val="28"/>
            </w:rPr>
            <w:t>dekan yardımcısı görev tanımı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C512A0" w14:textId="77777777" w:rsidR="00E5474E" w:rsidRDefault="00C971AD" w:rsidP="000065D2">
          <w:pPr>
            <w:jc w:val="center"/>
          </w:pPr>
          <w:r w:rsidRPr="00C971AD">
            <w:rPr>
              <w:noProof/>
              <w:lang w:eastAsia="tr-TR"/>
            </w:rPr>
            <w:drawing>
              <wp:inline distT="0" distB="0" distL="0" distR="0" wp14:anchorId="7C4488E9" wp14:editId="6C453F40">
                <wp:extent cx="905884" cy="800100"/>
                <wp:effectExtent l="19050" t="0" r="8516" b="0"/>
                <wp:docPr id="3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594" cy="8060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5474E" w:rsidRPr="00E23E21" w14:paraId="2FC79584" w14:textId="77777777" w:rsidTr="000065D2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FF3762" w14:textId="77777777" w:rsidR="00E5474E" w:rsidRPr="00DD52D7" w:rsidRDefault="00E5474E" w:rsidP="008E0E0B">
          <w:pPr>
            <w:spacing w:after="0"/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FC5C82" w14:textId="77777777" w:rsidR="00E5474E" w:rsidRPr="00DD52D7" w:rsidRDefault="00E5474E" w:rsidP="008E0E0B">
          <w:pPr>
            <w:spacing w:after="0"/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75A528" w14:textId="77777777" w:rsidR="00E5474E" w:rsidRPr="00DD52D7" w:rsidRDefault="00E5474E" w:rsidP="008E0E0B">
          <w:pPr>
            <w:spacing w:after="0"/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4DBB05" w14:textId="77777777" w:rsidR="00E5474E" w:rsidRPr="00DD52D7" w:rsidRDefault="00E5474E" w:rsidP="008E0E0B">
          <w:pPr>
            <w:spacing w:after="0"/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0C9BF3" w14:textId="77777777" w:rsidR="00E5474E" w:rsidRPr="00E23E21" w:rsidRDefault="00E5474E" w:rsidP="008E0E0B">
          <w:pPr>
            <w:spacing w:after="0"/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E5474E" w:rsidRPr="008F0E08" w14:paraId="3706CB1E" w14:textId="77777777" w:rsidTr="00E5474E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BFB36F" w14:textId="77777777" w:rsidR="00E5474E" w:rsidRPr="00DD52D7" w:rsidRDefault="00E5474E" w:rsidP="008E0E0B">
          <w:pPr>
            <w:spacing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KKY.YD.03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5371EE" w14:textId="77777777" w:rsidR="00E5474E" w:rsidRPr="00DD52D7" w:rsidRDefault="00C971AD" w:rsidP="008E0E0B">
          <w:pPr>
            <w:spacing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4691AD" w14:textId="0A2806F4" w:rsidR="00E5474E" w:rsidRPr="00DD52D7" w:rsidRDefault="00DC44EF" w:rsidP="008E0E0B">
          <w:pPr>
            <w:spacing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4F6800" w14:textId="27ADE54B" w:rsidR="00E5474E" w:rsidRPr="00DD52D7" w:rsidRDefault="00DC44EF" w:rsidP="008E0E0B">
          <w:pPr>
            <w:spacing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22.08.2023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58CC9" w14:textId="77777777" w:rsidR="00E5474E" w:rsidRPr="008F0E08" w:rsidRDefault="00E209A9" w:rsidP="008E0E0B">
          <w:pPr>
            <w:spacing w:after="0"/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E5474E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A8083F">
            <w:rPr>
              <w:noProof/>
              <w:sz w:val="18"/>
              <w:szCs w:val="18"/>
            </w:rPr>
            <w:t>3</w:t>
          </w:r>
          <w:r w:rsidRPr="008F0E08">
            <w:rPr>
              <w:sz w:val="18"/>
              <w:szCs w:val="18"/>
            </w:rPr>
            <w:fldChar w:fldCharType="end"/>
          </w:r>
          <w:r w:rsidR="00E5474E" w:rsidRPr="008F0E08">
            <w:rPr>
              <w:sz w:val="18"/>
              <w:szCs w:val="18"/>
            </w:rPr>
            <w:t>/</w:t>
          </w:r>
          <w:fldSimple w:instr=" NUMPAGES   \* MERGEFORMAT ">
            <w:r w:rsidR="00A8083F" w:rsidRPr="00A8083F">
              <w:rPr>
                <w:noProof/>
                <w:sz w:val="18"/>
                <w:szCs w:val="18"/>
              </w:rPr>
              <w:t>3</w:t>
            </w:r>
          </w:fldSimple>
        </w:p>
      </w:tc>
    </w:tr>
  </w:tbl>
  <w:p w14:paraId="1AAB1E69" w14:textId="77777777" w:rsidR="00E5474E" w:rsidRDefault="00E547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B774" w14:textId="77777777" w:rsidR="00301032" w:rsidRDefault="003010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1FAC"/>
    <w:multiLevelType w:val="hybridMultilevel"/>
    <w:tmpl w:val="7BC241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6B7"/>
    <w:multiLevelType w:val="hybridMultilevel"/>
    <w:tmpl w:val="B658BE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62A5D"/>
    <w:multiLevelType w:val="hybridMultilevel"/>
    <w:tmpl w:val="B9CC6A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59E"/>
    <w:multiLevelType w:val="hybridMultilevel"/>
    <w:tmpl w:val="0164C0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73A1A"/>
    <w:multiLevelType w:val="hybridMultilevel"/>
    <w:tmpl w:val="4FA01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337FB"/>
    <w:multiLevelType w:val="hybridMultilevel"/>
    <w:tmpl w:val="B11278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C5CBA"/>
    <w:multiLevelType w:val="hybridMultilevel"/>
    <w:tmpl w:val="8CC28FEE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4F4E"/>
    <w:multiLevelType w:val="hybridMultilevel"/>
    <w:tmpl w:val="5BA4FD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4286"/>
    <w:multiLevelType w:val="hybridMultilevel"/>
    <w:tmpl w:val="51D83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2B61"/>
    <w:multiLevelType w:val="hybridMultilevel"/>
    <w:tmpl w:val="AE1025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E0780"/>
    <w:multiLevelType w:val="hybridMultilevel"/>
    <w:tmpl w:val="E00E095E"/>
    <w:lvl w:ilvl="0" w:tplc="B36E2C82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0213B"/>
    <w:multiLevelType w:val="hybridMultilevel"/>
    <w:tmpl w:val="B11278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F56FC"/>
    <w:multiLevelType w:val="hybridMultilevel"/>
    <w:tmpl w:val="85CAFB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13427">
    <w:abstractNumId w:val="0"/>
  </w:num>
  <w:num w:numId="2" w16cid:durableId="1862165836">
    <w:abstractNumId w:val="5"/>
  </w:num>
  <w:num w:numId="3" w16cid:durableId="1199195550">
    <w:abstractNumId w:val="4"/>
  </w:num>
  <w:num w:numId="4" w16cid:durableId="1243415769">
    <w:abstractNumId w:val="15"/>
  </w:num>
  <w:num w:numId="5" w16cid:durableId="109126203">
    <w:abstractNumId w:val="18"/>
  </w:num>
  <w:num w:numId="6" w16cid:durableId="2114664511">
    <w:abstractNumId w:val="16"/>
  </w:num>
  <w:num w:numId="7" w16cid:durableId="1266425358">
    <w:abstractNumId w:val="14"/>
  </w:num>
  <w:num w:numId="8" w16cid:durableId="933830760">
    <w:abstractNumId w:val="9"/>
  </w:num>
  <w:num w:numId="9" w16cid:durableId="361132382">
    <w:abstractNumId w:val="10"/>
  </w:num>
  <w:num w:numId="10" w16cid:durableId="1165631986">
    <w:abstractNumId w:val="1"/>
  </w:num>
  <w:num w:numId="11" w16cid:durableId="1076632605">
    <w:abstractNumId w:val="19"/>
  </w:num>
  <w:num w:numId="12" w16cid:durableId="6291513">
    <w:abstractNumId w:val="22"/>
  </w:num>
  <w:num w:numId="13" w16cid:durableId="1928735217">
    <w:abstractNumId w:val="3"/>
  </w:num>
  <w:num w:numId="14" w16cid:durableId="1701515844">
    <w:abstractNumId w:val="8"/>
  </w:num>
  <w:num w:numId="15" w16cid:durableId="436297968">
    <w:abstractNumId w:val="11"/>
  </w:num>
  <w:num w:numId="16" w16cid:durableId="1578057664">
    <w:abstractNumId w:val="7"/>
  </w:num>
  <w:num w:numId="17" w16cid:durableId="206841512">
    <w:abstractNumId w:val="17"/>
  </w:num>
  <w:num w:numId="18" w16cid:durableId="200483983">
    <w:abstractNumId w:val="2"/>
  </w:num>
  <w:num w:numId="19" w16cid:durableId="1715688295">
    <w:abstractNumId w:val="12"/>
  </w:num>
  <w:num w:numId="20" w16cid:durableId="1420984102">
    <w:abstractNumId w:val="6"/>
  </w:num>
  <w:num w:numId="21" w16cid:durableId="1967928461">
    <w:abstractNumId w:val="13"/>
  </w:num>
  <w:num w:numId="22" w16cid:durableId="9840650">
    <w:abstractNumId w:val="20"/>
  </w:num>
  <w:num w:numId="23" w16cid:durableId="6371544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03019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22003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B07"/>
    <w:rsid w:val="0000475D"/>
    <w:rsid w:val="0000535B"/>
    <w:rsid w:val="00011D40"/>
    <w:rsid w:val="0001482D"/>
    <w:rsid w:val="00025B96"/>
    <w:rsid w:val="00027042"/>
    <w:rsid w:val="00050709"/>
    <w:rsid w:val="000512DE"/>
    <w:rsid w:val="00051A58"/>
    <w:rsid w:val="00052E40"/>
    <w:rsid w:val="000559A4"/>
    <w:rsid w:val="00096437"/>
    <w:rsid w:val="000F1F07"/>
    <w:rsid w:val="000F6B07"/>
    <w:rsid w:val="0011360A"/>
    <w:rsid w:val="00120FE7"/>
    <w:rsid w:val="00136982"/>
    <w:rsid w:val="00156D9D"/>
    <w:rsid w:val="001E3E51"/>
    <w:rsid w:val="001F1AA1"/>
    <w:rsid w:val="001F1FAC"/>
    <w:rsid w:val="002207A0"/>
    <w:rsid w:val="00257AD4"/>
    <w:rsid w:val="0027354E"/>
    <w:rsid w:val="002765D5"/>
    <w:rsid w:val="002936B1"/>
    <w:rsid w:val="002B7B4C"/>
    <w:rsid w:val="002E2A59"/>
    <w:rsid w:val="00301032"/>
    <w:rsid w:val="0036460D"/>
    <w:rsid w:val="00376B84"/>
    <w:rsid w:val="003C4745"/>
    <w:rsid w:val="00451D93"/>
    <w:rsid w:val="0045733D"/>
    <w:rsid w:val="00465027"/>
    <w:rsid w:val="0049651C"/>
    <w:rsid w:val="004A237C"/>
    <w:rsid w:val="004B28F5"/>
    <w:rsid w:val="004E7200"/>
    <w:rsid w:val="00500B84"/>
    <w:rsid w:val="00531778"/>
    <w:rsid w:val="00541B77"/>
    <w:rsid w:val="00584E2E"/>
    <w:rsid w:val="00613536"/>
    <w:rsid w:val="00631993"/>
    <w:rsid w:val="006F1B23"/>
    <w:rsid w:val="007542E7"/>
    <w:rsid w:val="007B3CB5"/>
    <w:rsid w:val="007C4BF3"/>
    <w:rsid w:val="007D4D67"/>
    <w:rsid w:val="007E56A7"/>
    <w:rsid w:val="00874956"/>
    <w:rsid w:val="00892A5C"/>
    <w:rsid w:val="008A67D0"/>
    <w:rsid w:val="008B2917"/>
    <w:rsid w:val="008E0E0B"/>
    <w:rsid w:val="008E5522"/>
    <w:rsid w:val="009024AA"/>
    <w:rsid w:val="009106AD"/>
    <w:rsid w:val="0094596A"/>
    <w:rsid w:val="00970AC7"/>
    <w:rsid w:val="00972CC4"/>
    <w:rsid w:val="009936FC"/>
    <w:rsid w:val="00997935"/>
    <w:rsid w:val="009E21F7"/>
    <w:rsid w:val="009F5FD3"/>
    <w:rsid w:val="00A0106C"/>
    <w:rsid w:val="00A63BB0"/>
    <w:rsid w:val="00A8083F"/>
    <w:rsid w:val="00AB2DA6"/>
    <w:rsid w:val="00AE284C"/>
    <w:rsid w:val="00B21969"/>
    <w:rsid w:val="00B33086"/>
    <w:rsid w:val="00B952A8"/>
    <w:rsid w:val="00BE01CD"/>
    <w:rsid w:val="00BE4F04"/>
    <w:rsid w:val="00BE7756"/>
    <w:rsid w:val="00BF031A"/>
    <w:rsid w:val="00BF65B5"/>
    <w:rsid w:val="00C13F32"/>
    <w:rsid w:val="00C259A5"/>
    <w:rsid w:val="00C26137"/>
    <w:rsid w:val="00C325B2"/>
    <w:rsid w:val="00C63816"/>
    <w:rsid w:val="00C706E0"/>
    <w:rsid w:val="00C91AD0"/>
    <w:rsid w:val="00C971AD"/>
    <w:rsid w:val="00D14861"/>
    <w:rsid w:val="00D37AC8"/>
    <w:rsid w:val="00D47180"/>
    <w:rsid w:val="00D8073F"/>
    <w:rsid w:val="00D8492E"/>
    <w:rsid w:val="00DA2A22"/>
    <w:rsid w:val="00DB12B4"/>
    <w:rsid w:val="00DC294E"/>
    <w:rsid w:val="00DC44EF"/>
    <w:rsid w:val="00DC4796"/>
    <w:rsid w:val="00DD4837"/>
    <w:rsid w:val="00E04473"/>
    <w:rsid w:val="00E209A9"/>
    <w:rsid w:val="00E5474E"/>
    <w:rsid w:val="00E61016"/>
    <w:rsid w:val="00E8105F"/>
    <w:rsid w:val="00E90054"/>
    <w:rsid w:val="00EF1C20"/>
    <w:rsid w:val="00F17F1F"/>
    <w:rsid w:val="00F34F4A"/>
    <w:rsid w:val="00F53BE9"/>
    <w:rsid w:val="00F7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813DA"/>
  <w15:docId w15:val="{04051303-3D74-4803-BAD0-3F8F99A4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474E"/>
  </w:style>
  <w:style w:type="paragraph" w:styleId="AltBilgi">
    <w:name w:val="footer"/>
    <w:basedOn w:val="Normal"/>
    <w:link w:val="AltBilgiChar"/>
    <w:uiPriority w:val="99"/>
    <w:unhideWhenUsed/>
    <w:rsid w:val="00E5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474E"/>
  </w:style>
  <w:style w:type="paragraph" w:styleId="BalonMetni">
    <w:name w:val="Balloon Text"/>
    <w:basedOn w:val="Normal"/>
    <w:link w:val="BalonMetniChar"/>
    <w:uiPriority w:val="99"/>
    <w:semiHidden/>
    <w:unhideWhenUsed/>
    <w:rsid w:val="00E5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4D832-21F0-4C99-ABFE-6325ADE6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Ozan Kılıç</cp:lastModifiedBy>
  <cp:revision>39</cp:revision>
  <cp:lastPrinted>2019-02-25T11:24:00Z</cp:lastPrinted>
  <dcterms:created xsi:type="dcterms:W3CDTF">2017-08-15T08:03:00Z</dcterms:created>
  <dcterms:modified xsi:type="dcterms:W3CDTF">2023-08-22T07:05:00Z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a12384328077d5b52f17ac730c4152710f0d582c3d26d161bf4d330c851e81af</vt:lpwstr>
  </property>
</Properties>
</file>