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7"/>
        <w:gridCol w:w="1986"/>
        <w:gridCol w:w="1833"/>
        <w:gridCol w:w="2090"/>
        <w:gridCol w:w="1692"/>
      </w:tblGrid>
      <w:tr w:rsidR="00A92655" w:rsidTr="009D3965">
        <w:trPr>
          <w:trHeight w:val="1402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55" w:rsidRDefault="00A92655" w:rsidP="00ED321E">
            <w:pPr>
              <w:spacing w:after="0" w:line="240" w:lineRule="auto"/>
              <w:jc w:val="both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62074" cy="857250"/>
                  <wp:effectExtent l="19050" t="0" r="0" b="0"/>
                  <wp:docPr id="1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74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55" w:rsidRDefault="00A92655" w:rsidP="009D3965">
            <w:pPr>
              <w:spacing w:after="0" w:line="240" w:lineRule="auto"/>
              <w:jc w:val="center"/>
            </w:pPr>
          </w:p>
          <w:p w:rsidR="00A92655" w:rsidRDefault="009C35E0" w:rsidP="009D39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BOLU </w:t>
            </w:r>
            <w:r w:rsidR="00A92655">
              <w:rPr>
                <w:b/>
              </w:rPr>
              <w:t>ABANT İZZET BAYSAL ÜNİVERSİTESİ DİŞ HEKİMLİĞİ FAKÜLTESİ</w:t>
            </w:r>
          </w:p>
          <w:p w:rsidR="00A92655" w:rsidRDefault="00ED321E" w:rsidP="009D3965">
            <w:pPr>
              <w:spacing w:after="0" w:line="240" w:lineRule="auto"/>
              <w:jc w:val="center"/>
            </w:pPr>
            <w:r>
              <w:t>HASTA VE YAKINLARININ GÖRÜŞLERİNİN DEĞERLENDİRİLMESİ PROSEDÜRÜ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55" w:rsidRDefault="00C01623" w:rsidP="00ED321E">
            <w:pPr>
              <w:spacing w:after="0" w:line="240" w:lineRule="auto"/>
              <w:jc w:val="both"/>
            </w:pPr>
            <w:r w:rsidRPr="00C01623">
              <w:drawing>
                <wp:inline distT="0" distB="0" distL="0" distR="0">
                  <wp:extent cx="781050" cy="857250"/>
                  <wp:effectExtent l="19050" t="0" r="0" b="0"/>
                  <wp:docPr id="5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836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55" w:rsidTr="009D396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55" w:rsidRDefault="00A92655" w:rsidP="00ED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</w:t>
            </w:r>
            <w:r w:rsidR="00ED321E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MAN KODU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55" w:rsidRDefault="00A92655" w:rsidP="00ED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YAYIN TARİHİ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55" w:rsidRDefault="00A92655" w:rsidP="00ED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REVİZYON NO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55" w:rsidRDefault="00A92655" w:rsidP="00ED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REVİZYON TARİHİ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55" w:rsidRDefault="00A92655" w:rsidP="00ED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NO</w:t>
            </w:r>
          </w:p>
        </w:tc>
      </w:tr>
      <w:tr w:rsidR="00ED321E" w:rsidTr="009D396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E" w:rsidRDefault="00ED321E" w:rsidP="00536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HHD.PR.01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E" w:rsidRDefault="00ED321E" w:rsidP="00536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12/04/2018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E" w:rsidRDefault="00ED321E" w:rsidP="00536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E" w:rsidRDefault="00ED321E" w:rsidP="00536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E" w:rsidRDefault="00ED321E" w:rsidP="00ED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noProof/>
                <w:sz w:val="20"/>
                <w:szCs w:val="20"/>
              </w:rPr>
              <w:t>2</w:t>
            </w:r>
          </w:p>
        </w:tc>
      </w:tr>
    </w:tbl>
    <w:p w:rsidR="003239D7" w:rsidRDefault="00C01623" w:rsidP="00ED321E">
      <w:pPr>
        <w:jc w:val="both"/>
      </w:pPr>
    </w:p>
    <w:p w:rsidR="00A92655" w:rsidRPr="004E7E47" w:rsidRDefault="00A92655" w:rsidP="00ED321E">
      <w:pPr>
        <w:jc w:val="both"/>
        <w:rPr>
          <w:b/>
        </w:rPr>
      </w:pPr>
      <w:r w:rsidRPr="004E7E47">
        <w:rPr>
          <w:b/>
        </w:rPr>
        <w:t>1- AMAÇ</w:t>
      </w:r>
    </w:p>
    <w:p w:rsidR="00A92655" w:rsidRDefault="00A92655" w:rsidP="00ED321E">
      <w:pPr>
        <w:jc w:val="both"/>
      </w:pPr>
      <w:r>
        <w:t>Hizmet kalitesini geliştirmek ve verimliliğini artırmak için Fakültemize gelen hasta ve hasta yakınlarının her türlü öneri ve şikayetlerini değerlendirmektir.</w:t>
      </w:r>
    </w:p>
    <w:p w:rsidR="009205B4" w:rsidRPr="009205B4" w:rsidRDefault="009205B4" w:rsidP="00ED321E">
      <w:pPr>
        <w:jc w:val="both"/>
        <w:rPr>
          <w:b/>
        </w:rPr>
      </w:pPr>
      <w:r w:rsidRPr="009205B4">
        <w:rPr>
          <w:b/>
        </w:rPr>
        <w:t>2- KAPSAM</w:t>
      </w:r>
    </w:p>
    <w:p w:rsidR="009205B4" w:rsidRDefault="009205B4" w:rsidP="00ED321E">
      <w:pPr>
        <w:jc w:val="both"/>
      </w:pPr>
      <w:r>
        <w:t>Fakülte Yönetimi, Kalite Yönetim Birimi ve Hasta Hakları Birimini kapsar.</w:t>
      </w:r>
    </w:p>
    <w:p w:rsidR="00A92655" w:rsidRPr="004E7E47" w:rsidRDefault="009205B4" w:rsidP="00ED321E">
      <w:pPr>
        <w:jc w:val="both"/>
        <w:rPr>
          <w:b/>
        </w:rPr>
      </w:pPr>
      <w:r>
        <w:rPr>
          <w:b/>
        </w:rPr>
        <w:t>3</w:t>
      </w:r>
      <w:r w:rsidR="00A92655" w:rsidRPr="004E7E47">
        <w:rPr>
          <w:b/>
        </w:rPr>
        <w:t>- SORUMLUL</w:t>
      </w:r>
      <w:r>
        <w:rPr>
          <w:b/>
        </w:rPr>
        <w:t>AR</w:t>
      </w:r>
    </w:p>
    <w:p w:rsidR="00A92655" w:rsidRDefault="00A92655" w:rsidP="00ED321E">
      <w:pPr>
        <w:jc w:val="both"/>
      </w:pPr>
      <w:r>
        <w:t>Hasta ve Hasta Yakınlarının Görüşlerini Değerlendirme Ekibi ve Kalite Yönetim Birimi sorumludur.</w:t>
      </w:r>
    </w:p>
    <w:p w:rsidR="00A92655" w:rsidRPr="004E7E47" w:rsidRDefault="009205B4" w:rsidP="00ED321E">
      <w:pPr>
        <w:jc w:val="both"/>
        <w:rPr>
          <w:b/>
        </w:rPr>
      </w:pPr>
      <w:r>
        <w:rPr>
          <w:b/>
        </w:rPr>
        <w:t>4</w:t>
      </w:r>
      <w:r w:rsidR="00A92655" w:rsidRPr="004E7E47">
        <w:rPr>
          <w:b/>
        </w:rPr>
        <w:t>- TANIMLAR</w:t>
      </w:r>
    </w:p>
    <w:p w:rsidR="00A92655" w:rsidRDefault="00A92655" w:rsidP="00ED321E">
      <w:pPr>
        <w:jc w:val="both"/>
      </w:pPr>
      <w:r w:rsidRPr="004E7E47">
        <w:rPr>
          <w:b/>
        </w:rPr>
        <w:t>Hasta ve Hasta Yakınları Dilek,  Şikayet ve Öneri Formu:</w:t>
      </w:r>
      <w:r>
        <w:t xml:space="preserve"> Fakültemize gelen hastaların dilek, şikayet ve önerilerini iletebilmeleri için hazırlanmış, dilek, şikayet </w:t>
      </w:r>
      <w:r w:rsidR="008551CF">
        <w:t xml:space="preserve"> ve öneri </w:t>
      </w:r>
      <w:r>
        <w:t>kutularının yanında yer alan formdur.</w:t>
      </w:r>
    </w:p>
    <w:p w:rsidR="00A92655" w:rsidRDefault="00A92655" w:rsidP="00ED321E">
      <w:pPr>
        <w:jc w:val="both"/>
      </w:pPr>
      <w:r w:rsidRPr="004E7E47">
        <w:rPr>
          <w:b/>
        </w:rPr>
        <w:t xml:space="preserve"> Hasta ve Hasta Yakınları Dilek,  Şikayet ve Öneri Değerlendirme Formu:</w:t>
      </w:r>
      <w:r w:rsidR="008551CF">
        <w:t xml:space="preserve"> Dilek, şikayet ve öneri kutularından çıkan formların aylık olarak kaydedildiği formdur.</w:t>
      </w:r>
    </w:p>
    <w:p w:rsidR="008551CF" w:rsidRPr="004E7E47" w:rsidRDefault="009205B4" w:rsidP="00ED321E">
      <w:pPr>
        <w:jc w:val="both"/>
        <w:rPr>
          <w:b/>
        </w:rPr>
      </w:pPr>
      <w:r>
        <w:rPr>
          <w:b/>
        </w:rPr>
        <w:t>5</w:t>
      </w:r>
      <w:r w:rsidR="008551CF" w:rsidRPr="004E7E47">
        <w:rPr>
          <w:b/>
        </w:rPr>
        <w:t>- UYGULAMA</w:t>
      </w:r>
    </w:p>
    <w:p w:rsidR="008551CF" w:rsidRDefault="008551CF" w:rsidP="00ED321E">
      <w:pPr>
        <w:jc w:val="both"/>
      </w:pPr>
      <w:r>
        <w:sym w:font="Symbol" w:char="F02A"/>
      </w:r>
      <w:r>
        <w:t xml:space="preserve"> Fakültemizde hasta ve yakınlarının görüşlerini bildirebilmesi için düzenlemeler yapılır.</w:t>
      </w:r>
    </w:p>
    <w:p w:rsidR="008551CF" w:rsidRDefault="008551CF" w:rsidP="00ED321E">
      <w:pPr>
        <w:jc w:val="both"/>
      </w:pPr>
      <w:r>
        <w:sym w:font="Symbol" w:char="F02A"/>
      </w:r>
      <w:r>
        <w:t>Fakültemizde hasta ve hasta yakınlarının görüşleri; Hasta Memnuniyet Anketleri, Hasta ve Hasta Yakınları Dilek, Şikayet ve Öneri Değerlendirm</w:t>
      </w:r>
      <w:r w:rsidR="005D6116">
        <w:t>e Kutuları, bireysel başvurular ve internet başvuruları olarak değerlendirmeye alınır.</w:t>
      </w:r>
    </w:p>
    <w:p w:rsidR="005D6116" w:rsidRDefault="005D6116" w:rsidP="00ED321E">
      <w:pPr>
        <w:jc w:val="both"/>
      </w:pPr>
      <w:r>
        <w:sym w:font="Symbol" w:char="F02A"/>
      </w:r>
      <w:r>
        <w:t>Fakültemizin web sayfasında, hastalarımızın dilek, şikayet ve önerilerini bildirebilmeleri için dilek, şikayet ve öneri butonu oluşturulur.</w:t>
      </w:r>
    </w:p>
    <w:p w:rsidR="005D6116" w:rsidRDefault="005D6116" w:rsidP="00ED321E">
      <w:pPr>
        <w:jc w:val="both"/>
      </w:pPr>
      <w:r>
        <w:sym w:font="Symbol" w:char="F02A"/>
      </w:r>
      <w:r>
        <w:t xml:space="preserve">Fakültemizin hastalar tarafından kolay ulaşılabilecek yerlerine </w:t>
      </w:r>
      <w:r w:rsidR="00ED321E">
        <w:t>d</w:t>
      </w:r>
      <w:r w:rsidR="00A606D7">
        <w:t>i</w:t>
      </w:r>
      <w:r>
        <w:t>lek, şikayet ve öneri kutuları yerleştirilir. Bu kutuların yanına Hasta ve Hasta Yakınları Dilek,  Şikayet ve Öneri Formu bırakılır.</w:t>
      </w:r>
    </w:p>
    <w:p w:rsidR="005D6116" w:rsidRDefault="005D6116" w:rsidP="00ED321E">
      <w:pPr>
        <w:jc w:val="both"/>
      </w:pPr>
      <w:r>
        <w:sym w:font="Symbol" w:char="F02A"/>
      </w:r>
      <w:r>
        <w:t xml:space="preserve">Her  ayın </w:t>
      </w:r>
      <w:r w:rsidR="00A606D7">
        <w:t>ilk üç iş günü içersinde Hasta Hakları Birim Sorumlusu ve Kalite Direktörü tarafından dilek, şikayet ve öneri kutuları açılır.</w:t>
      </w:r>
    </w:p>
    <w:p w:rsidR="00B70617" w:rsidRDefault="00A606D7" w:rsidP="00ED321E">
      <w:pPr>
        <w:jc w:val="both"/>
      </w:pPr>
      <w:r>
        <w:sym w:font="Symbol" w:char="F02A"/>
      </w:r>
      <w:r>
        <w:t>Formları değerlendirmek için Hasta ve Yakınlarının Görüşlerini Değerlendirme Ekibi toplantı düzenler. Ekipte yönetimden bir kişi, Fakülte Sekreteri,  Kalite Direktörü ve Hasta Hakları Birim Sorumlusu yer alır.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7"/>
        <w:gridCol w:w="1984"/>
        <w:gridCol w:w="1833"/>
        <w:gridCol w:w="2086"/>
        <w:gridCol w:w="6"/>
        <w:gridCol w:w="1692"/>
      </w:tblGrid>
      <w:tr w:rsidR="004E7E47" w:rsidTr="009C35E0">
        <w:trPr>
          <w:trHeight w:val="1402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7" w:rsidRDefault="004E7E47" w:rsidP="00ED321E">
            <w:pPr>
              <w:spacing w:after="0" w:line="240" w:lineRule="auto"/>
              <w:jc w:val="both"/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804603" cy="800100"/>
                  <wp:effectExtent l="19050" t="0" r="0" b="0"/>
                  <wp:docPr id="3" name="Resim 1" descr="aibu_d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ibu_d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03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47" w:rsidRDefault="004E7E47" w:rsidP="009C35E0">
            <w:pPr>
              <w:spacing w:after="0" w:line="240" w:lineRule="auto"/>
              <w:jc w:val="center"/>
            </w:pPr>
          </w:p>
          <w:p w:rsidR="004E7E47" w:rsidRDefault="009C35E0" w:rsidP="009C35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BOLU </w:t>
            </w:r>
            <w:r w:rsidR="004E7E47">
              <w:rPr>
                <w:b/>
              </w:rPr>
              <w:t>ABANT İZZET BAYSAL ÜNİVERSİTESİ DİŞ HEKİMLİĞİ FAKÜLTESİ</w:t>
            </w:r>
          </w:p>
          <w:p w:rsidR="004E7E47" w:rsidRDefault="00ED321E" w:rsidP="009C35E0">
            <w:pPr>
              <w:spacing w:after="0" w:line="240" w:lineRule="auto"/>
              <w:jc w:val="center"/>
            </w:pPr>
            <w:r>
              <w:t>HASTA VE YAKINLARININ GÖRÜŞLERİNİN DEĞERLENDİRİLMESİ PROSEDÜRÜ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7" w:rsidRDefault="00C01623" w:rsidP="00ED321E">
            <w:pPr>
              <w:spacing w:after="0" w:line="240" w:lineRule="auto"/>
              <w:jc w:val="both"/>
            </w:pPr>
            <w:r w:rsidRPr="00C01623">
              <w:drawing>
                <wp:inline distT="0" distB="0" distL="0" distR="0">
                  <wp:extent cx="781050" cy="857250"/>
                  <wp:effectExtent l="19050" t="0" r="0" b="0"/>
                  <wp:docPr id="6" name="Resim 1" descr="C:\Users\Aidata\Downloads\birincilogo_3559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Downloads\birincilogo_35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836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E47" w:rsidTr="00ED321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7" w:rsidRDefault="004E7E47" w:rsidP="00ED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</w:t>
            </w:r>
            <w:r w:rsidR="00ED321E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MAN KODU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7" w:rsidRDefault="004E7E47" w:rsidP="00ED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YAYIN TARİHİ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7" w:rsidRDefault="004E7E47" w:rsidP="00ED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REVİZYON NO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7" w:rsidRDefault="004E7E47" w:rsidP="00ED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REVİZYON TARİHİ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7" w:rsidRDefault="004E7E47" w:rsidP="00ED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NO</w:t>
            </w:r>
          </w:p>
        </w:tc>
      </w:tr>
      <w:tr w:rsidR="004E7E47" w:rsidTr="00ED321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7" w:rsidRDefault="00ED321E" w:rsidP="00ED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HHD.PR</w:t>
            </w:r>
            <w:r w:rsidR="004E7E47">
              <w:rPr>
                <w:sz w:val="20"/>
                <w:szCs w:val="20"/>
              </w:rPr>
              <w:t>.01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7" w:rsidRDefault="00ED321E" w:rsidP="00ED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12/04/2018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7" w:rsidRDefault="00ED321E" w:rsidP="00ED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7" w:rsidRDefault="00ED321E" w:rsidP="00ED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7" w:rsidRDefault="00ED321E" w:rsidP="00ED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  <w:r w:rsidR="004E7E47">
              <w:rPr>
                <w:sz w:val="20"/>
                <w:szCs w:val="20"/>
              </w:rPr>
              <w:t>/</w:t>
            </w:r>
            <w:r w:rsidR="004E7E47">
              <w:rPr>
                <w:noProof/>
                <w:sz w:val="20"/>
                <w:szCs w:val="20"/>
              </w:rPr>
              <w:t>2</w:t>
            </w:r>
          </w:p>
        </w:tc>
      </w:tr>
    </w:tbl>
    <w:p w:rsidR="009205B4" w:rsidRDefault="009205B4" w:rsidP="009205B4">
      <w:pPr>
        <w:jc w:val="both"/>
      </w:pPr>
    </w:p>
    <w:p w:rsidR="009205B4" w:rsidRDefault="009205B4" w:rsidP="009205B4">
      <w:pPr>
        <w:jc w:val="both"/>
      </w:pPr>
      <w:r>
        <w:sym w:font="Symbol" w:char="F02A"/>
      </w:r>
      <w:r>
        <w:t xml:space="preserve">Genel ve soyut nitelikte olan, ad, </w:t>
      </w:r>
      <w:proofErr w:type="spellStart"/>
      <w:r>
        <w:t>soyad</w:t>
      </w:r>
      <w:proofErr w:type="spellEnd"/>
      <w:r>
        <w:t>, adres ve iletişim bilgileri olmayan ve hakaret içerikli şikayetler değerlendirmeye alınmaz.</w:t>
      </w:r>
    </w:p>
    <w:p w:rsidR="004E7E47" w:rsidRDefault="00ED321E" w:rsidP="00ED321E">
      <w:pPr>
        <w:jc w:val="both"/>
      </w:pPr>
      <w:r>
        <w:sym w:font="Symbol" w:char="F02A"/>
      </w:r>
      <w:r>
        <w:t>Toplantıda dilek, şika</w:t>
      </w:r>
      <w:r w:rsidR="00947858">
        <w:t xml:space="preserve">yet ve öneriler değerlendirilir, </w:t>
      </w:r>
      <w:r>
        <w:t>Hasta ve Hasta Yakınları Dilek,  Şikayet ve Öneri Değerlendirme Formuna kaydedilir</w:t>
      </w:r>
      <w:r w:rsidR="00947858">
        <w:t xml:space="preserve"> ve</w:t>
      </w:r>
      <w:r>
        <w:t xml:space="preserve"> </w:t>
      </w:r>
      <w:r w:rsidR="00947858">
        <w:t>a</w:t>
      </w:r>
      <w:r>
        <w:t xml:space="preserve">lınan kararlar doğrultusunda ilgili kişiye, ilgili birime veya </w:t>
      </w:r>
      <w:r w:rsidR="004E7E47">
        <w:t>Dekanlık Makamına üst yazıyla bildirilir. Gerekli görülürse hasta veya hasta yakınına geri bildirimde bulunulur.</w:t>
      </w:r>
    </w:p>
    <w:p w:rsidR="00ED321E" w:rsidRDefault="00ED321E" w:rsidP="00ED321E">
      <w:pPr>
        <w:jc w:val="both"/>
      </w:pPr>
      <w:r>
        <w:sym w:font="Symbol" w:char="F02A"/>
      </w:r>
      <w:r>
        <w:t>Gerekirse DÖF (Düzeltici ve Önleyici Faaliyet) başlatılır.</w:t>
      </w:r>
    </w:p>
    <w:p w:rsidR="004E7E47" w:rsidRDefault="009205B4" w:rsidP="00ED321E">
      <w:pPr>
        <w:jc w:val="both"/>
        <w:rPr>
          <w:b/>
        </w:rPr>
      </w:pPr>
      <w:r>
        <w:rPr>
          <w:b/>
        </w:rPr>
        <w:t>6</w:t>
      </w:r>
      <w:r w:rsidR="004E7E47" w:rsidRPr="004E7E47">
        <w:rPr>
          <w:b/>
        </w:rPr>
        <w:t>- İLGİLİ DOKÜMANLAR</w:t>
      </w:r>
    </w:p>
    <w:p w:rsidR="004E7E47" w:rsidRDefault="004E7E47" w:rsidP="00ED321E">
      <w:pPr>
        <w:jc w:val="both"/>
      </w:pPr>
      <w:r w:rsidRPr="004E7E47">
        <w:sym w:font="Symbol" w:char="F02A"/>
      </w:r>
      <w:r w:rsidRPr="004E7E47">
        <w:t xml:space="preserve"> </w:t>
      </w:r>
      <w:r>
        <w:t>Hasta ve Hasta Yakınları Dilek,  Şikayet ve Öneri Formu</w:t>
      </w:r>
    </w:p>
    <w:p w:rsidR="004E7E47" w:rsidRDefault="004E7E47" w:rsidP="00ED321E">
      <w:pPr>
        <w:jc w:val="both"/>
      </w:pPr>
      <w:r>
        <w:sym w:font="Symbol" w:char="F02A"/>
      </w:r>
      <w:r w:rsidRPr="004E7E47">
        <w:t xml:space="preserve"> </w:t>
      </w:r>
      <w:r>
        <w:t>Hasta ve Hasta Yakınları Dilek,  Şikayet ve Öneri Değerlendirme Formu</w:t>
      </w:r>
    </w:p>
    <w:p w:rsidR="004E7E47" w:rsidRDefault="004E7E47" w:rsidP="00ED321E">
      <w:pPr>
        <w:jc w:val="both"/>
      </w:pPr>
      <w:r>
        <w:sym w:font="Symbol" w:char="F02A"/>
      </w:r>
      <w:r>
        <w:t>Toplantı Tutanağı</w:t>
      </w:r>
    </w:p>
    <w:p w:rsidR="004E7E47" w:rsidRPr="004E7E47" w:rsidRDefault="004E7E47" w:rsidP="00ED321E">
      <w:pPr>
        <w:jc w:val="both"/>
      </w:pPr>
      <w:r>
        <w:sym w:font="Symbol" w:char="F02A"/>
      </w:r>
      <w:r w:rsidR="00ED321E">
        <w:t>Dilek, Şikayet ve Öneri Kayıt Tutanağı Formu</w:t>
      </w:r>
    </w:p>
    <w:p w:rsidR="005D6116" w:rsidRDefault="005D6116" w:rsidP="00ED321E">
      <w:pPr>
        <w:jc w:val="both"/>
      </w:pPr>
    </w:p>
    <w:p w:rsidR="00B70617" w:rsidRDefault="00B70617" w:rsidP="00ED321E">
      <w:pPr>
        <w:jc w:val="both"/>
      </w:pPr>
    </w:p>
    <w:p w:rsidR="00B70617" w:rsidRDefault="00B70617" w:rsidP="00ED321E">
      <w:pPr>
        <w:jc w:val="both"/>
      </w:pPr>
    </w:p>
    <w:tbl>
      <w:tblPr>
        <w:tblW w:w="5156" w:type="pct"/>
        <w:tblInd w:w="-72" w:type="dxa"/>
        <w:tblBorders>
          <w:top w:val="double" w:sz="4" w:space="0" w:color="003366"/>
          <w:left w:val="double" w:sz="4" w:space="0" w:color="003366"/>
          <w:bottom w:val="double" w:sz="4" w:space="0" w:color="003366"/>
          <w:right w:val="double" w:sz="4" w:space="0" w:color="003366"/>
          <w:insideH w:val="double" w:sz="4" w:space="0" w:color="003366"/>
          <w:insideV w:val="double" w:sz="4" w:space="0" w:color="003366"/>
        </w:tblBorders>
        <w:tblCellMar>
          <w:left w:w="70" w:type="dxa"/>
          <w:right w:w="70" w:type="dxa"/>
        </w:tblCellMar>
        <w:tblLook w:val="04A0"/>
      </w:tblPr>
      <w:tblGrid>
        <w:gridCol w:w="3404"/>
        <w:gridCol w:w="3260"/>
        <w:gridCol w:w="2835"/>
      </w:tblGrid>
      <w:tr w:rsidR="00520786" w:rsidTr="00520786">
        <w:trPr>
          <w:trHeight w:val="156"/>
        </w:trPr>
        <w:tc>
          <w:tcPr>
            <w:tcW w:w="1792" w:type="pc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hideMark/>
          </w:tcPr>
          <w:p w:rsidR="00520786" w:rsidRDefault="00520786">
            <w:pPr>
              <w:pStyle w:val="Altbilgi"/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HAZIRLAYAN</w:t>
            </w:r>
          </w:p>
        </w:tc>
        <w:tc>
          <w:tcPr>
            <w:tcW w:w="1716" w:type="pc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hideMark/>
          </w:tcPr>
          <w:p w:rsidR="00520786" w:rsidRDefault="00520786">
            <w:pPr>
              <w:pStyle w:val="Altbilgi"/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KONTROL EDEN</w:t>
            </w:r>
          </w:p>
        </w:tc>
        <w:tc>
          <w:tcPr>
            <w:tcW w:w="1492" w:type="pc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hideMark/>
          </w:tcPr>
          <w:p w:rsidR="00520786" w:rsidRDefault="00520786">
            <w:pPr>
              <w:pStyle w:val="Altbilgi"/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ONAYLAYAN</w:t>
            </w:r>
          </w:p>
        </w:tc>
      </w:tr>
      <w:tr w:rsidR="00520786" w:rsidTr="00520786">
        <w:trPr>
          <w:trHeight w:val="200"/>
        </w:trPr>
        <w:tc>
          <w:tcPr>
            <w:tcW w:w="1792" w:type="pc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hideMark/>
          </w:tcPr>
          <w:p w:rsidR="00520786" w:rsidRDefault="00520786">
            <w:pPr>
              <w:pStyle w:val="Altbilgi"/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Kalite Yönetim Direktörü</w:t>
            </w:r>
          </w:p>
        </w:tc>
        <w:tc>
          <w:tcPr>
            <w:tcW w:w="1716" w:type="pc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520786" w:rsidRDefault="00520786">
            <w:pPr>
              <w:pStyle w:val="Altbilgi"/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Fakülte Sekreteri</w:t>
            </w:r>
          </w:p>
        </w:tc>
        <w:tc>
          <w:tcPr>
            <w:tcW w:w="1492" w:type="pc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520786" w:rsidRDefault="00520786">
            <w:pPr>
              <w:pStyle w:val="Altbilgi"/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Dekan</w:t>
            </w:r>
          </w:p>
        </w:tc>
      </w:tr>
      <w:tr w:rsidR="00520786" w:rsidTr="00520786">
        <w:trPr>
          <w:trHeight w:val="200"/>
        </w:trPr>
        <w:tc>
          <w:tcPr>
            <w:tcW w:w="1792" w:type="pc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hideMark/>
          </w:tcPr>
          <w:p w:rsidR="00520786" w:rsidRDefault="00520786">
            <w:pPr>
              <w:pStyle w:val="Altbilgi"/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Canan ŞAHİN</w:t>
            </w:r>
          </w:p>
        </w:tc>
        <w:tc>
          <w:tcPr>
            <w:tcW w:w="1716" w:type="pc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hideMark/>
          </w:tcPr>
          <w:p w:rsidR="00520786" w:rsidRDefault="00520786">
            <w:pPr>
              <w:pStyle w:val="Altbilgi"/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Sevgi İNAL GÖREN</w:t>
            </w:r>
          </w:p>
        </w:tc>
        <w:tc>
          <w:tcPr>
            <w:tcW w:w="1492" w:type="pc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hideMark/>
          </w:tcPr>
          <w:p w:rsidR="00520786" w:rsidRDefault="00520786">
            <w:pPr>
              <w:pStyle w:val="Altbilgi"/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Prof. Dr. Hasan ORUÇOĞLU</w:t>
            </w:r>
          </w:p>
        </w:tc>
      </w:tr>
    </w:tbl>
    <w:p w:rsidR="00B70617" w:rsidRDefault="00B70617" w:rsidP="00ED321E">
      <w:pPr>
        <w:jc w:val="both"/>
      </w:pPr>
    </w:p>
    <w:p w:rsidR="00B70617" w:rsidRDefault="00B70617" w:rsidP="00ED321E">
      <w:pPr>
        <w:jc w:val="both"/>
      </w:pPr>
    </w:p>
    <w:p w:rsidR="00B70617" w:rsidRDefault="00B70617" w:rsidP="00ED321E">
      <w:pPr>
        <w:jc w:val="both"/>
      </w:pPr>
    </w:p>
    <w:sectPr w:rsidR="00B70617" w:rsidSect="00B70617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2655"/>
    <w:rsid w:val="002378D9"/>
    <w:rsid w:val="00355FCF"/>
    <w:rsid w:val="00460912"/>
    <w:rsid w:val="00465027"/>
    <w:rsid w:val="004E7E47"/>
    <w:rsid w:val="00520786"/>
    <w:rsid w:val="005D6116"/>
    <w:rsid w:val="005F5080"/>
    <w:rsid w:val="008551CF"/>
    <w:rsid w:val="00890E83"/>
    <w:rsid w:val="00892A5C"/>
    <w:rsid w:val="009205B4"/>
    <w:rsid w:val="00947858"/>
    <w:rsid w:val="00970AC7"/>
    <w:rsid w:val="009C35E0"/>
    <w:rsid w:val="009D3965"/>
    <w:rsid w:val="00A606D7"/>
    <w:rsid w:val="00A92655"/>
    <w:rsid w:val="00AE2F6A"/>
    <w:rsid w:val="00B218A0"/>
    <w:rsid w:val="00B70617"/>
    <w:rsid w:val="00C01623"/>
    <w:rsid w:val="00CD69B5"/>
    <w:rsid w:val="00DC294E"/>
    <w:rsid w:val="00ED321E"/>
    <w:rsid w:val="00F760AC"/>
    <w:rsid w:val="00FA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65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7061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B7061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DA4C4-5A1B-48A4-BBAF-BBBEE9A9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9</cp:revision>
  <cp:lastPrinted>2018-04-12T08:46:00Z</cp:lastPrinted>
  <dcterms:created xsi:type="dcterms:W3CDTF">2018-04-12T06:56:00Z</dcterms:created>
  <dcterms:modified xsi:type="dcterms:W3CDTF">2019-01-04T09:52:00Z</dcterms:modified>
</cp:coreProperties>
</file>